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0FAB75A8" w14:textId="39ED622A" w:rsidR="009042E0" w:rsidRPr="009042E0" w:rsidRDefault="009042E0" w:rsidP="009042E0">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3CF00F06" w14:textId="77777777" w:rsidR="007B0F89" w:rsidRDefault="009042E0" w:rsidP="007B0F89">
          <w:pPr>
            <w:spacing w:before="240" w:after="120"/>
            <w:contextualSpacing/>
            <w:jc w:val="both"/>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w:t>
          </w:r>
          <w:r w:rsidR="004237B6">
            <w:rPr>
              <w:rFonts w:ascii="Franklin Gothic Demi" w:eastAsia="Times New Roman" w:hAnsi="Franklin Gothic Demi" w:cs="Arial"/>
              <w:bCs/>
              <w:iCs/>
              <w:color w:val="003478"/>
              <w:sz w:val="48"/>
              <w:szCs w:val="48"/>
            </w:rPr>
            <w:t>106</w:t>
          </w:r>
          <w:r w:rsidR="007B0F89">
            <w:rPr>
              <w:rFonts w:ascii="Franklin Gothic Demi" w:eastAsia="Times New Roman" w:hAnsi="Franklin Gothic Demi" w:cs="Arial"/>
              <w:bCs/>
              <w:iCs/>
              <w:color w:val="003478"/>
              <w:sz w:val="48"/>
              <w:szCs w:val="48"/>
            </w:rPr>
            <w:t xml:space="preserve">11 </w:t>
          </w:r>
          <w:bookmarkStart w:id="1" w:name="_Hlk116843596"/>
        </w:p>
        <w:p w14:paraId="4C8F19C2" w14:textId="0E6467D5" w:rsidR="004237B6" w:rsidRPr="00435AA6" w:rsidRDefault="007B0F89" w:rsidP="007B0F89">
          <w:pPr>
            <w:spacing w:before="240" w:after="120"/>
            <w:contextualSpacing/>
            <w:jc w:val="both"/>
            <w:rPr>
              <w:rFonts w:asciiTheme="majorHAnsi" w:hAnsiTheme="majorHAnsi" w:cstheme="majorHAnsi"/>
              <w:color w:val="00B0F0"/>
              <w:sz w:val="36"/>
              <w:szCs w:val="36"/>
            </w:rPr>
          </w:pPr>
          <w:r w:rsidRPr="007B0F89">
            <w:rPr>
              <w:rFonts w:ascii="Franklin Gothic Demi" w:eastAsia="Times New Roman" w:hAnsi="Franklin Gothic Demi" w:cs="Arial"/>
              <w:bCs/>
              <w:iCs/>
              <w:color w:val="003478"/>
              <w:sz w:val="48"/>
              <w:szCs w:val="48"/>
            </w:rPr>
            <w:t xml:space="preserve">Women-led MSMEs - Ready to Export </w:t>
          </w:r>
          <w:bookmarkEnd w:id="1"/>
          <w:r w:rsidRPr="007B0F89">
            <w:rPr>
              <w:rFonts w:ascii="Franklin Gothic Demi" w:eastAsia="Times New Roman" w:hAnsi="Franklin Gothic Demi" w:cs="Arial"/>
              <w:bCs/>
              <w:iCs/>
              <w:color w:val="003478"/>
              <w:sz w:val="48"/>
              <w:szCs w:val="48"/>
            </w:rPr>
            <w:t xml:space="preserve"> </w:t>
          </w:r>
          <w:r>
            <w:rPr>
              <w:rFonts w:ascii="Franklin Gothic Demi" w:eastAsia="Times New Roman" w:hAnsi="Franklin Gothic Demi" w:cs="Arial"/>
              <w:bCs/>
              <w:iCs/>
              <w:color w:val="003478"/>
              <w:sz w:val="48"/>
              <w:szCs w:val="48"/>
            </w:rPr>
            <w:t xml:space="preserve"> </w:t>
          </w:r>
        </w:p>
        <w:p w14:paraId="7B0DCC7B" w14:textId="28DBFEB2" w:rsidR="00D23ED0" w:rsidRPr="00D23ED0" w:rsidRDefault="00D23ED0" w:rsidP="0032269A">
          <w:pPr>
            <w:spacing w:before="240" w:after="120"/>
            <w:contextualSpacing/>
            <w:rPr>
              <w:rFonts w:ascii="Franklin Gothic Demi" w:eastAsia="Times New Roman" w:hAnsi="Franklin Gothic Demi" w:cs="Arial"/>
              <w:bCs/>
              <w:iCs/>
              <w:color w:val="003478"/>
              <w:sz w:val="48"/>
              <w:szCs w:val="48"/>
            </w:rPr>
          </w:pPr>
        </w:p>
        <w:bookmarkEnd w:id="0"/>
        <w:p w14:paraId="7804DE46" w14:textId="77777777" w:rsidR="009042E0" w:rsidRPr="009042E0" w:rsidRDefault="009042E0" w:rsidP="009042E0">
          <w:pPr>
            <w:keepNext/>
            <w:keepLines/>
            <w:spacing w:after="0" w:line="240" w:lineRule="auto"/>
            <w:contextualSpacing/>
            <w:outlineLvl w:val="1"/>
            <w:rPr>
              <w:rFonts w:ascii="Franklin Gothic Demi" w:eastAsia="Times New Roman" w:hAnsi="Franklin Gothic Demi" w:cs="Arial"/>
              <w:bCs/>
              <w:iCs/>
              <w:color w:val="003478"/>
              <w:sz w:val="28"/>
              <w:szCs w:val="28"/>
            </w:rPr>
          </w:pPr>
        </w:p>
        <w:p w14:paraId="3DF3D342" w14:textId="286DBC1C" w:rsid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14D6565E" w14:textId="77777777" w:rsidR="009042E0" w:rsidRPr="009042E0" w:rsidRDefault="009042E0" w:rsidP="009042E0">
          <w:pPr>
            <w:keepNext/>
            <w:keepLines/>
            <w:spacing w:before="240" w:after="12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7B0F89"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2" w:name="_Hlk46839388"/>
      <w:r w:rsidRPr="00D27E2D">
        <w:rPr>
          <w:rFonts w:ascii="Arial" w:hAnsi="Arial" w:cs="Arial"/>
          <w:b/>
          <w:i/>
          <w:sz w:val="20"/>
          <w:szCs w:val="20"/>
        </w:rPr>
        <w:t xml:space="preserve">Please see Part D for details of the selection criteria. </w:t>
      </w:r>
    </w:p>
    <w:bookmarkEnd w:id="2"/>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3" w:name="_Toc66162812"/>
      <w:bookmarkStart w:id="4" w:name="_Toc66960911"/>
      <w:bookmarkStart w:id="5" w:name="_Toc128558356"/>
      <w:bookmarkStart w:id="6" w:name="_Toc128558487"/>
      <w:bookmarkStart w:id="7"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3"/>
      <w:bookmarkEnd w:id="4"/>
      <w:bookmarkEnd w:id="5"/>
      <w:bookmarkEnd w:id="6"/>
      <w:bookmarkEnd w:id="7"/>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Capacity and training experience: 20%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Core personnel: 40% of the technical </w:t>
      </w:r>
      <w:proofErr w:type="gramStart"/>
      <w:r w:rsidRPr="00D27E2D">
        <w:rPr>
          <w:rFonts w:ascii="Arial" w:eastAsia="Calibri" w:hAnsi="Arial" w:cs="Arial"/>
          <w:sz w:val="20"/>
          <w:szCs w:val="20"/>
          <w:highlight w:val="yellow"/>
        </w:rPr>
        <w:t>assessment</w:t>
      </w:r>
      <w:proofErr w:type="gramEnd"/>
      <w:r w:rsidRPr="00D27E2D">
        <w:rPr>
          <w:rFonts w:ascii="Arial" w:eastAsia="Calibri" w:hAnsi="Arial" w:cs="Arial"/>
          <w:sz w:val="20"/>
          <w:szCs w:val="20"/>
          <w:highlight w:val="yellow"/>
        </w:rPr>
        <w:t xml:space="preserve">  </w:t>
      </w:r>
    </w:p>
    <w:p w14:paraId="6BE3A688" w14:textId="25B24D42" w:rsidR="00EA4A4C" w:rsidRPr="00D27E2D" w:rsidRDefault="00EA4A4C" w:rsidP="00EA4A4C">
      <w:pPr>
        <w:pStyle w:val="BodyBullet2"/>
        <w:ind w:left="1260"/>
        <w:rPr>
          <w:sz w:val="20"/>
          <w:szCs w:val="20"/>
          <w:highlight w:val="yellow"/>
        </w:rPr>
      </w:pPr>
      <w:bookmarkStart w:id="8"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the Annex 2) </w:t>
      </w:r>
    </w:p>
    <w:bookmarkEnd w:id="8"/>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9"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9"/>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w:t>
      </w:r>
      <w:proofErr w:type="gramStart"/>
      <w:r w:rsidRPr="00D27E2D">
        <w:rPr>
          <w:rFonts w:ascii="Arial" w:hAnsi="Arial" w:cs="Arial"/>
          <w:color w:val="000000"/>
          <w:sz w:val="20"/>
          <w:szCs w:val="20"/>
        </w:rPr>
        <w:t>successful</w:t>
      </w:r>
      <w:proofErr w:type="gramEnd"/>
      <w:r w:rsidRPr="00D27E2D">
        <w:rPr>
          <w:rFonts w:ascii="Arial" w:hAnsi="Arial" w:cs="Arial"/>
          <w:color w:val="000000"/>
          <w:sz w:val="20"/>
          <w:szCs w:val="20"/>
        </w:rPr>
        <w:t xml:space="preserve">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Neither the Tenderer nor any of its servants or agents provided information to any other Tenderer, </w:t>
      </w:r>
      <w:proofErr w:type="gramStart"/>
      <w:r w:rsidRPr="00D27E2D">
        <w:rPr>
          <w:rFonts w:ascii="Arial" w:hAnsi="Arial" w:cs="Arial"/>
          <w:color w:val="000000"/>
          <w:sz w:val="20"/>
          <w:szCs w:val="20"/>
        </w:rPr>
        <w:t>person</w:t>
      </w:r>
      <w:proofErr w:type="gramEnd"/>
      <w:r w:rsidRPr="00D27E2D">
        <w:rPr>
          <w:rFonts w:ascii="Arial" w:hAnsi="Arial" w:cs="Arial"/>
          <w:color w:val="000000"/>
          <w:sz w:val="20"/>
          <w:szCs w:val="20"/>
        </w:rPr>
        <w:t xml:space="preserve">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proofErr w:type="gramStart"/>
      <w:r w:rsidRPr="00D27E2D">
        <w:rPr>
          <w:rFonts w:ascii="Arial" w:hAnsi="Arial" w:cs="Arial"/>
          <w:color w:val="000000"/>
          <w:sz w:val="20"/>
          <w:szCs w:val="20"/>
          <w:highlight w:val="yellow"/>
        </w:rPr>
        <w:t>signature</w:t>
      </w:r>
      <w:proofErr w:type="gramEnd"/>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 xml:space="preserve">insert </w:t>
      </w:r>
      <w:proofErr w:type="gramStart"/>
      <w:r w:rsidR="00CB53E0" w:rsidRPr="00D27E2D">
        <w:rPr>
          <w:rFonts w:ascii="Arial" w:hAnsi="Arial" w:cs="Arial"/>
          <w:iCs/>
          <w:color w:val="000000"/>
          <w:sz w:val="20"/>
          <w:szCs w:val="20"/>
          <w:highlight w:val="yellow"/>
        </w:rPr>
        <w:t>date</w:t>
      </w:r>
      <w:proofErr w:type="gramEnd"/>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w:t>
      </w:r>
      <w:proofErr w:type="gramStart"/>
      <w:r w:rsidRPr="00D27E2D">
        <w:rPr>
          <w:rFonts w:ascii="Arial" w:hAnsi="Arial" w:cs="Arial"/>
          <w:color w:val="000000"/>
          <w:sz w:val="20"/>
          <w:szCs w:val="20"/>
          <w:highlight w:val="yellow"/>
        </w:rPr>
        <w:t>made</w:t>
      </w:r>
      <w:proofErr w:type="gramEnd"/>
      <w:r w:rsidRPr="00D27E2D">
        <w:rPr>
          <w:rFonts w:ascii="Arial" w:hAnsi="Arial" w:cs="Arial"/>
          <w:color w:val="000000"/>
          <w:sz w:val="20"/>
          <w:szCs w:val="20"/>
          <w:highlight w:val="yellow"/>
        </w:rPr>
        <w:t xml:space="preserv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ABE6" w14:textId="77777777" w:rsidR="001D456B" w:rsidRDefault="001D456B" w:rsidP="00A002B6">
      <w:pPr>
        <w:spacing w:after="0" w:line="240" w:lineRule="auto"/>
      </w:pPr>
      <w:r>
        <w:separator/>
      </w:r>
    </w:p>
  </w:endnote>
  <w:endnote w:type="continuationSeparator" w:id="0">
    <w:p w14:paraId="41E30BE1" w14:textId="77777777" w:rsidR="001D456B" w:rsidRDefault="001D456B"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2A64CF5B"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7B0F89"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4E071F12"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9767" w14:textId="77777777" w:rsidR="001D456B" w:rsidRDefault="001D456B" w:rsidP="00A002B6">
      <w:pPr>
        <w:spacing w:after="0" w:line="240" w:lineRule="auto"/>
      </w:pPr>
      <w:r>
        <w:separator/>
      </w:r>
    </w:p>
  </w:footnote>
  <w:footnote w:type="continuationSeparator" w:id="0">
    <w:p w14:paraId="157B4404" w14:textId="77777777" w:rsidR="001D456B" w:rsidRDefault="001D456B"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1"/>
  </w:num>
  <w:num w:numId="2" w16cid:durableId="1854953121">
    <w:abstractNumId w:val="1"/>
  </w:num>
  <w:num w:numId="3" w16cid:durableId="101269971">
    <w:abstractNumId w:val="2"/>
  </w:num>
  <w:num w:numId="4" w16cid:durableId="525993774">
    <w:abstractNumId w:val="7"/>
  </w:num>
  <w:num w:numId="5" w16cid:durableId="2131780429">
    <w:abstractNumId w:val="0"/>
  </w:num>
  <w:num w:numId="6" w16cid:durableId="693504224">
    <w:abstractNumId w:val="4"/>
  </w:num>
  <w:num w:numId="7" w16cid:durableId="611204840">
    <w:abstractNumId w:val="12"/>
  </w:num>
  <w:num w:numId="8" w16cid:durableId="1828862742">
    <w:abstractNumId w:val="9"/>
  </w:num>
  <w:num w:numId="9" w16cid:durableId="8454357">
    <w:abstractNumId w:val="8"/>
  </w:num>
  <w:num w:numId="10" w16cid:durableId="822428304">
    <w:abstractNumId w:val="5"/>
  </w:num>
  <w:num w:numId="11" w16cid:durableId="1811823172">
    <w:abstractNumId w:val="3"/>
  </w:num>
  <w:num w:numId="12" w16cid:durableId="941689594">
    <w:abstractNumId w:val="6"/>
  </w:num>
  <w:num w:numId="13" w16cid:durableId="302928892">
    <w:abstractNumId w:val="10"/>
  </w:num>
  <w:num w:numId="14" w16cid:durableId="1220745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6711"/>
    <w:rsid w:val="000A6E64"/>
    <w:rsid w:val="000A74F6"/>
    <w:rsid w:val="000F1EB5"/>
    <w:rsid w:val="00152EB1"/>
    <w:rsid w:val="00182477"/>
    <w:rsid w:val="001B4439"/>
    <w:rsid w:val="001B7AFE"/>
    <w:rsid w:val="001C2FB3"/>
    <w:rsid w:val="001D456B"/>
    <w:rsid w:val="001D6CFB"/>
    <w:rsid w:val="001F72A5"/>
    <w:rsid w:val="002140BD"/>
    <w:rsid w:val="00214B5C"/>
    <w:rsid w:val="0026625F"/>
    <w:rsid w:val="002773F7"/>
    <w:rsid w:val="00296533"/>
    <w:rsid w:val="002B2E55"/>
    <w:rsid w:val="002E69C5"/>
    <w:rsid w:val="003056CB"/>
    <w:rsid w:val="00307342"/>
    <w:rsid w:val="003121BC"/>
    <w:rsid w:val="00315468"/>
    <w:rsid w:val="003206FE"/>
    <w:rsid w:val="00320DBF"/>
    <w:rsid w:val="0032269A"/>
    <w:rsid w:val="00324BA5"/>
    <w:rsid w:val="00326000"/>
    <w:rsid w:val="0032656C"/>
    <w:rsid w:val="00342880"/>
    <w:rsid w:val="003A0F94"/>
    <w:rsid w:val="003C1127"/>
    <w:rsid w:val="003C490A"/>
    <w:rsid w:val="003E174A"/>
    <w:rsid w:val="00400026"/>
    <w:rsid w:val="00404C32"/>
    <w:rsid w:val="004050A8"/>
    <w:rsid w:val="004237B6"/>
    <w:rsid w:val="00425B11"/>
    <w:rsid w:val="0046168F"/>
    <w:rsid w:val="00463293"/>
    <w:rsid w:val="00483BA4"/>
    <w:rsid w:val="00495482"/>
    <w:rsid w:val="004B2F0E"/>
    <w:rsid w:val="004B3E53"/>
    <w:rsid w:val="004D0B3C"/>
    <w:rsid w:val="004D6484"/>
    <w:rsid w:val="004F1A76"/>
    <w:rsid w:val="00500835"/>
    <w:rsid w:val="0052789C"/>
    <w:rsid w:val="00532460"/>
    <w:rsid w:val="00536D0B"/>
    <w:rsid w:val="00542473"/>
    <w:rsid w:val="00544A53"/>
    <w:rsid w:val="005552C1"/>
    <w:rsid w:val="00566B19"/>
    <w:rsid w:val="00580905"/>
    <w:rsid w:val="0058581C"/>
    <w:rsid w:val="005B3083"/>
    <w:rsid w:val="005F4E37"/>
    <w:rsid w:val="00613B10"/>
    <w:rsid w:val="00651013"/>
    <w:rsid w:val="0067330D"/>
    <w:rsid w:val="00676D6A"/>
    <w:rsid w:val="006B7BC0"/>
    <w:rsid w:val="006C581B"/>
    <w:rsid w:val="006E5663"/>
    <w:rsid w:val="006E5FDA"/>
    <w:rsid w:val="00722E79"/>
    <w:rsid w:val="0072652D"/>
    <w:rsid w:val="00735520"/>
    <w:rsid w:val="0075705F"/>
    <w:rsid w:val="007A39B5"/>
    <w:rsid w:val="007A6C8F"/>
    <w:rsid w:val="007B0F89"/>
    <w:rsid w:val="007C64A5"/>
    <w:rsid w:val="007D435F"/>
    <w:rsid w:val="00814666"/>
    <w:rsid w:val="008200B0"/>
    <w:rsid w:val="00841EF6"/>
    <w:rsid w:val="00845945"/>
    <w:rsid w:val="00854BB5"/>
    <w:rsid w:val="008669BC"/>
    <w:rsid w:val="0086735B"/>
    <w:rsid w:val="008842BE"/>
    <w:rsid w:val="008B4D4E"/>
    <w:rsid w:val="008C7525"/>
    <w:rsid w:val="008D067E"/>
    <w:rsid w:val="008D374C"/>
    <w:rsid w:val="008F1E60"/>
    <w:rsid w:val="008F7DF4"/>
    <w:rsid w:val="009042E0"/>
    <w:rsid w:val="00906F85"/>
    <w:rsid w:val="00930DDC"/>
    <w:rsid w:val="00933B3B"/>
    <w:rsid w:val="009352E3"/>
    <w:rsid w:val="0093794F"/>
    <w:rsid w:val="00943D5C"/>
    <w:rsid w:val="00962A04"/>
    <w:rsid w:val="00967FE5"/>
    <w:rsid w:val="00983309"/>
    <w:rsid w:val="009A6A6E"/>
    <w:rsid w:val="009B11C7"/>
    <w:rsid w:val="009F679E"/>
    <w:rsid w:val="00A002B6"/>
    <w:rsid w:val="00A51F9F"/>
    <w:rsid w:val="00A6110C"/>
    <w:rsid w:val="00A7516E"/>
    <w:rsid w:val="00A948C7"/>
    <w:rsid w:val="00AD44B5"/>
    <w:rsid w:val="00AE1A41"/>
    <w:rsid w:val="00B129EE"/>
    <w:rsid w:val="00B410E2"/>
    <w:rsid w:val="00B548C5"/>
    <w:rsid w:val="00B75FC4"/>
    <w:rsid w:val="00BA0E98"/>
    <w:rsid w:val="00BC07F4"/>
    <w:rsid w:val="00BE1075"/>
    <w:rsid w:val="00BE44B5"/>
    <w:rsid w:val="00C10EB8"/>
    <w:rsid w:val="00C25DEB"/>
    <w:rsid w:val="00C3003A"/>
    <w:rsid w:val="00C34FC3"/>
    <w:rsid w:val="00C473B0"/>
    <w:rsid w:val="00C50B4E"/>
    <w:rsid w:val="00C63400"/>
    <w:rsid w:val="00C71D75"/>
    <w:rsid w:val="00C97B79"/>
    <w:rsid w:val="00CB53E0"/>
    <w:rsid w:val="00CC1861"/>
    <w:rsid w:val="00CC3988"/>
    <w:rsid w:val="00CD1CB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Janne Laukkala</cp:lastModifiedBy>
  <cp:revision>5</cp:revision>
  <dcterms:created xsi:type="dcterms:W3CDTF">2024-02-01T00:20:00Z</dcterms:created>
  <dcterms:modified xsi:type="dcterms:W3CDTF">2024-03-12T21:03:00Z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